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10DF" w14:textId="474C1BE5" w:rsidR="0079482A" w:rsidRPr="0079482A" w:rsidRDefault="0079482A" w:rsidP="0079482A">
      <w:pPr>
        <w:jc w:val="center"/>
        <w:rPr>
          <w:sz w:val="52"/>
        </w:rPr>
      </w:pPr>
      <w:r w:rsidRPr="0079482A">
        <w:rPr>
          <w:sz w:val="52"/>
        </w:rPr>
        <w:t>Postpartum Hemorrhage Risk Assessment Tool</w:t>
      </w:r>
    </w:p>
    <w:p w14:paraId="59241F5C" w14:textId="77777777" w:rsidR="0079482A" w:rsidRDefault="0079482A"/>
    <w:p w14:paraId="5C845581" w14:textId="4E59C8FA" w:rsidR="00F25501" w:rsidRDefault="0079482A">
      <w:r>
        <w:t xml:space="preserve"> </w:t>
      </w:r>
    </w:p>
    <w:tbl>
      <w:tblPr>
        <w:tblStyle w:val="TableGrid"/>
        <w:tblpPr w:leftFromText="180" w:rightFromText="180" w:vertAnchor="page" w:horzAnchor="page" w:tblpX="1450" w:tblpY="2705"/>
        <w:tblW w:w="13135" w:type="dxa"/>
        <w:tblLook w:val="04A0" w:firstRow="1" w:lastRow="0" w:firstColumn="1" w:lastColumn="0" w:noHBand="0" w:noVBand="1"/>
      </w:tblPr>
      <w:tblGrid>
        <w:gridCol w:w="4501"/>
        <w:gridCol w:w="4317"/>
        <w:gridCol w:w="4317"/>
      </w:tblGrid>
      <w:tr w:rsidR="0079482A" w14:paraId="2384007E" w14:textId="77777777" w:rsidTr="0079482A">
        <w:tc>
          <w:tcPr>
            <w:tcW w:w="4501" w:type="dxa"/>
          </w:tcPr>
          <w:p w14:paraId="095A7576" w14:textId="77777777" w:rsidR="0079482A" w:rsidRPr="007D354C" w:rsidRDefault="0079482A" w:rsidP="0079482A">
            <w:pPr>
              <w:jc w:val="center"/>
              <w:rPr>
                <w:b/>
                <w:color w:val="538135" w:themeColor="accent6" w:themeShade="BF"/>
                <w:sz w:val="40"/>
              </w:rPr>
            </w:pPr>
            <w:r w:rsidRPr="007D354C">
              <w:rPr>
                <w:b/>
                <w:color w:val="538135" w:themeColor="accent6" w:themeShade="BF"/>
                <w:sz w:val="40"/>
              </w:rPr>
              <w:t>Low Risk</w:t>
            </w:r>
          </w:p>
        </w:tc>
        <w:tc>
          <w:tcPr>
            <w:tcW w:w="4317" w:type="dxa"/>
          </w:tcPr>
          <w:p w14:paraId="6E58DB8C" w14:textId="77777777" w:rsidR="0079482A" w:rsidRPr="007D354C" w:rsidRDefault="0079482A" w:rsidP="0079482A">
            <w:pPr>
              <w:jc w:val="center"/>
              <w:rPr>
                <w:b/>
                <w:color w:val="FFC000"/>
                <w:sz w:val="40"/>
              </w:rPr>
            </w:pPr>
            <w:r w:rsidRPr="007D354C">
              <w:rPr>
                <w:b/>
                <w:color w:val="FFC000"/>
                <w:sz w:val="40"/>
              </w:rPr>
              <w:t>Moderate Risk</w:t>
            </w:r>
          </w:p>
        </w:tc>
        <w:tc>
          <w:tcPr>
            <w:tcW w:w="4317" w:type="dxa"/>
          </w:tcPr>
          <w:p w14:paraId="61EB8617" w14:textId="77777777" w:rsidR="0079482A" w:rsidRPr="007D354C" w:rsidRDefault="0079482A" w:rsidP="0079482A">
            <w:pPr>
              <w:jc w:val="center"/>
              <w:rPr>
                <w:b/>
                <w:color w:val="C00000"/>
                <w:sz w:val="40"/>
              </w:rPr>
            </w:pPr>
            <w:r w:rsidRPr="007D354C">
              <w:rPr>
                <w:b/>
                <w:color w:val="C00000"/>
                <w:sz w:val="40"/>
              </w:rPr>
              <w:t>High Risk</w:t>
            </w:r>
          </w:p>
        </w:tc>
      </w:tr>
      <w:tr w:rsidR="0079482A" w14:paraId="41470CBD" w14:textId="77777777" w:rsidTr="0079482A">
        <w:trPr>
          <w:trHeight w:val="3950"/>
        </w:trPr>
        <w:tc>
          <w:tcPr>
            <w:tcW w:w="4501" w:type="dxa"/>
          </w:tcPr>
          <w:p w14:paraId="1A1396FA" w14:textId="77777777" w:rsidR="0079482A" w:rsidRPr="007D354C" w:rsidRDefault="0079482A" w:rsidP="0079482A">
            <w:pPr>
              <w:rPr>
                <w:color w:val="538135" w:themeColor="accent6" w:themeShade="BF"/>
                <w:sz w:val="36"/>
              </w:rPr>
            </w:pPr>
          </w:p>
          <w:p w14:paraId="7C93A6F2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36"/>
              </w:rPr>
            </w:pPr>
            <w:r w:rsidRPr="007D354C">
              <w:rPr>
                <w:color w:val="538135" w:themeColor="accent6" w:themeShade="BF"/>
                <w:sz w:val="36"/>
              </w:rPr>
              <w:t>&lt; 4 previous births</w:t>
            </w:r>
          </w:p>
          <w:p w14:paraId="47787F9C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36"/>
              </w:rPr>
            </w:pPr>
            <w:r w:rsidRPr="007D354C">
              <w:rPr>
                <w:color w:val="538135" w:themeColor="accent6" w:themeShade="BF"/>
                <w:sz w:val="36"/>
              </w:rPr>
              <w:t xml:space="preserve">No history of postpartum hemorrhage </w:t>
            </w:r>
          </w:p>
          <w:p w14:paraId="74C45A83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36"/>
              </w:rPr>
            </w:pPr>
            <w:r w:rsidRPr="007D354C">
              <w:rPr>
                <w:color w:val="538135" w:themeColor="accent6" w:themeShade="BF"/>
                <w:sz w:val="36"/>
              </w:rPr>
              <w:t xml:space="preserve">No previous uterine surgery </w:t>
            </w:r>
          </w:p>
          <w:p w14:paraId="2BD14170" w14:textId="77777777" w:rsidR="0079482A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36"/>
              </w:rPr>
            </w:pPr>
            <w:r w:rsidRPr="007D354C">
              <w:rPr>
                <w:color w:val="538135" w:themeColor="accent6" w:themeShade="BF"/>
                <w:sz w:val="36"/>
              </w:rPr>
              <w:t xml:space="preserve">Normal blood count </w:t>
            </w:r>
          </w:p>
          <w:p w14:paraId="15C82441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  <w:sz w:val="36"/>
              </w:rPr>
            </w:pPr>
            <w:r>
              <w:rPr>
                <w:color w:val="538135" w:themeColor="accent6" w:themeShade="BF"/>
                <w:sz w:val="36"/>
              </w:rPr>
              <w:t>No known bleeding disorders</w:t>
            </w:r>
          </w:p>
          <w:p w14:paraId="3A239ECA" w14:textId="77777777" w:rsidR="0079482A" w:rsidRPr="007D354C" w:rsidRDefault="0079482A" w:rsidP="0079482A">
            <w:pPr>
              <w:pStyle w:val="ListParagraph"/>
              <w:rPr>
                <w:color w:val="538135" w:themeColor="accent6" w:themeShade="BF"/>
                <w:sz w:val="36"/>
              </w:rPr>
            </w:pPr>
          </w:p>
        </w:tc>
        <w:tc>
          <w:tcPr>
            <w:tcW w:w="4317" w:type="dxa"/>
          </w:tcPr>
          <w:p w14:paraId="038F88AC" w14:textId="77777777" w:rsidR="0079482A" w:rsidRPr="007D354C" w:rsidRDefault="0079482A" w:rsidP="0079482A">
            <w:pPr>
              <w:rPr>
                <w:color w:val="FFC000"/>
                <w:sz w:val="36"/>
              </w:rPr>
            </w:pPr>
          </w:p>
          <w:p w14:paraId="347AE76E" w14:textId="77777777" w:rsidR="0079482A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>Labor &gt;18 hours</w:t>
            </w:r>
          </w:p>
          <w:p w14:paraId="6A0D4299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>&gt;2 hours of pushing</w:t>
            </w:r>
          </w:p>
          <w:p w14:paraId="19C0C70B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 w:rsidRPr="007D354C">
              <w:rPr>
                <w:color w:val="FFC000"/>
                <w:sz w:val="36"/>
              </w:rPr>
              <w:t xml:space="preserve">Anemia </w:t>
            </w:r>
          </w:p>
          <w:p w14:paraId="13A0B436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>&gt; 4</w:t>
            </w:r>
            <w:r w:rsidRPr="007D354C">
              <w:rPr>
                <w:color w:val="FFC000"/>
                <w:sz w:val="36"/>
              </w:rPr>
              <w:t xml:space="preserve"> previous births</w:t>
            </w:r>
          </w:p>
          <w:p w14:paraId="172E2C79" w14:textId="77777777" w:rsidR="0079482A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 xml:space="preserve">Uterine </w:t>
            </w:r>
            <w:r w:rsidRPr="007D354C">
              <w:rPr>
                <w:color w:val="FFC000"/>
                <w:sz w:val="36"/>
              </w:rPr>
              <w:t xml:space="preserve">Fibroids </w:t>
            </w:r>
          </w:p>
          <w:p w14:paraId="616CE1EA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>Large baby (&gt;4kg)</w:t>
            </w:r>
          </w:p>
          <w:p w14:paraId="2923C48C" w14:textId="77777777" w:rsidR="0079482A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 w:rsidRPr="007D354C">
              <w:rPr>
                <w:color w:val="FFC000"/>
                <w:sz w:val="36"/>
              </w:rPr>
              <w:t xml:space="preserve">Previous uterine surgery </w:t>
            </w:r>
          </w:p>
          <w:p w14:paraId="5C37EFF8" w14:textId="45129D39" w:rsidR="0079482A" w:rsidRDefault="0052456B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 xml:space="preserve">Precipitous birth         </w:t>
            </w:r>
            <w:r w:rsidR="0079482A">
              <w:rPr>
                <w:color w:val="FFC000"/>
                <w:sz w:val="36"/>
              </w:rPr>
              <w:t xml:space="preserve"> </w:t>
            </w:r>
            <w:r>
              <w:rPr>
                <w:color w:val="FFC000"/>
                <w:sz w:val="36"/>
              </w:rPr>
              <w:t>(&lt; 3 hours)</w:t>
            </w:r>
            <w:bookmarkStart w:id="0" w:name="_GoBack"/>
            <w:bookmarkEnd w:id="0"/>
          </w:p>
          <w:p w14:paraId="68FDF760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36"/>
              </w:rPr>
            </w:pPr>
            <w:r>
              <w:rPr>
                <w:color w:val="FFC000"/>
                <w:sz w:val="36"/>
              </w:rPr>
              <w:t>Family history of postpartum hemorrhage (1</w:t>
            </w:r>
            <w:r w:rsidRPr="00F32C82">
              <w:rPr>
                <w:color w:val="FFC000"/>
                <w:sz w:val="36"/>
                <w:vertAlign w:val="superscript"/>
              </w:rPr>
              <w:t>st</w:t>
            </w:r>
            <w:r>
              <w:rPr>
                <w:color w:val="FFC000"/>
                <w:sz w:val="36"/>
              </w:rPr>
              <w:t xml:space="preserve"> degree relative)</w:t>
            </w:r>
          </w:p>
        </w:tc>
        <w:tc>
          <w:tcPr>
            <w:tcW w:w="4317" w:type="dxa"/>
          </w:tcPr>
          <w:p w14:paraId="7208087F" w14:textId="77777777" w:rsidR="0079482A" w:rsidRPr="007D354C" w:rsidRDefault="0079482A" w:rsidP="0079482A">
            <w:pPr>
              <w:rPr>
                <w:color w:val="C00000"/>
                <w:sz w:val="36"/>
              </w:rPr>
            </w:pPr>
          </w:p>
          <w:p w14:paraId="393ADC2F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36"/>
              </w:rPr>
            </w:pPr>
            <w:r w:rsidRPr="007D354C">
              <w:rPr>
                <w:color w:val="C00000"/>
                <w:sz w:val="36"/>
              </w:rPr>
              <w:t>History of postpartum hemorrhage</w:t>
            </w:r>
          </w:p>
          <w:p w14:paraId="221DCE38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36"/>
              </w:rPr>
            </w:pPr>
            <w:r w:rsidRPr="007D354C">
              <w:rPr>
                <w:color w:val="C00000"/>
                <w:sz w:val="36"/>
              </w:rPr>
              <w:t xml:space="preserve">Low blood pressure </w:t>
            </w:r>
          </w:p>
          <w:p w14:paraId="6C7CF755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36"/>
              </w:rPr>
            </w:pPr>
            <w:r w:rsidRPr="007D354C">
              <w:rPr>
                <w:color w:val="C00000"/>
                <w:sz w:val="36"/>
              </w:rPr>
              <w:t xml:space="preserve">Rapid heart rate </w:t>
            </w:r>
          </w:p>
          <w:p w14:paraId="1129728A" w14:textId="77777777" w:rsidR="0079482A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36"/>
              </w:rPr>
            </w:pPr>
            <w:r w:rsidRPr="007D354C">
              <w:rPr>
                <w:color w:val="C00000"/>
                <w:sz w:val="36"/>
              </w:rPr>
              <w:t>Known bleeding disorder</w:t>
            </w:r>
          </w:p>
          <w:p w14:paraId="7E1BD8F1" w14:textId="77777777" w:rsidR="0079482A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36"/>
              </w:rPr>
            </w:pPr>
            <w:r>
              <w:rPr>
                <w:color w:val="C00000"/>
                <w:sz w:val="36"/>
              </w:rPr>
              <w:t>Low lying placenta</w:t>
            </w:r>
          </w:p>
          <w:p w14:paraId="0D5E9A54" w14:textId="77777777" w:rsidR="0079482A" w:rsidRPr="007D354C" w:rsidRDefault="0079482A" w:rsidP="0079482A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36"/>
              </w:rPr>
            </w:pPr>
            <w:r>
              <w:rPr>
                <w:color w:val="C00000"/>
                <w:sz w:val="36"/>
              </w:rPr>
              <w:t>2 or more moderate risk factors</w:t>
            </w:r>
          </w:p>
          <w:p w14:paraId="015336E7" w14:textId="77777777" w:rsidR="0079482A" w:rsidRPr="007D354C" w:rsidRDefault="0079482A" w:rsidP="0079482A">
            <w:pPr>
              <w:pStyle w:val="ListParagraph"/>
              <w:rPr>
                <w:color w:val="C00000"/>
                <w:sz w:val="36"/>
              </w:rPr>
            </w:pPr>
          </w:p>
          <w:p w14:paraId="706DD9BD" w14:textId="77777777" w:rsidR="0079482A" w:rsidRPr="007D354C" w:rsidRDefault="0079482A" w:rsidP="0079482A">
            <w:pPr>
              <w:pStyle w:val="ListParagraph"/>
              <w:rPr>
                <w:color w:val="C00000"/>
                <w:sz w:val="36"/>
              </w:rPr>
            </w:pPr>
          </w:p>
        </w:tc>
      </w:tr>
    </w:tbl>
    <w:p w14:paraId="226687CB" w14:textId="77777777" w:rsidR="0079482A" w:rsidRDefault="0079482A"/>
    <w:p w14:paraId="527431DD" w14:textId="4EA9D130" w:rsidR="0079482A" w:rsidRDefault="0079482A">
      <w:r>
        <w:t>Reference:</w:t>
      </w:r>
    </w:p>
    <w:p w14:paraId="6B89C88D" w14:textId="657007E0" w:rsidR="00202599" w:rsidRDefault="0079482A">
      <w:r>
        <w:lastRenderedPageBreak/>
        <w:t xml:space="preserve"> </w:t>
      </w:r>
      <w:r w:rsidR="00F25501">
        <w:t xml:space="preserve">Association of Women’s Heath, Obstetric and Neonatal Nurses. (2015). </w:t>
      </w:r>
      <w:r w:rsidR="00F25501" w:rsidRPr="00F25501">
        <w:rPr>
          <w:i/>
        </w:rPr>
        <w:t>Postpartum hemorrhage (PPH) risk assessment table</w:t>
      </w:r>
      <w:r w:rsidR="00F25501">
        <w:t>.</w:t>
      </w:r>
      <w:r w:rsidR="00DD0665">
        <w:tab/>
      </w:r>
      <w:r w:rsidR="00DD0665">
        <w:tab/>
      </w:r>
      <w:r w:rsidR="00DD0665">
        <w:tab/>
      </w:r>
      <w:r w:rsidR="00F25501">
        <w:t xml:space="preserve"> Retrieved from </w:t>
      </w:r>
      <w:r w:rsidR="00F25501" w:rsidRPr="00F25501">
        <w:t>https://mygnosis.com/Content/Chunks/3504/assets/pdfs/PPH_Risk_Assessment_Table-7-17-15.pdf</w:t>
      </w:r>
    </w:p>
    <w:sectPr w:rsidR="00202599" w:rsidSect="004D4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143"/>
    <w:multiLevelType w:val="hybridMultilevel"/>
    <w:tmpl w:val="88F0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4"/>
    <w:rsid w:val="000579DD"/>
    <w:rsid w:val="00202599"/>
    <w:rsid w:val="00366B7C"/>
    <w:rsid w:val="004B4212"/>
    <w:rsid w:val="004D4B34"/>
    <w:rsid w:val="0052456B"/>
    <w:rsid w:val="00610478"/>
    <w:rsid w:val="0079482A"/>
    <w:rsid w:val="007D354C"/>
    <w:rsid w:val="00BA45D5"/>
    <w:rsid w:val="00CC4E6E"/>
    <w:rsid w:val="00DD0665"/>
    <w:rsid w:val="00E64635"/>
    <w:rsid w:val="00F25501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32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Arreguin, Elisabeth</dc:creator>
  <cp:keywords/>
  <dc:description/>
  <cp:lastModifiedBy>Arreguin, Betsy E</cp:lastModifiedBy>
  <cp:revision>3</cp:revision>
  <dcterms:created xsi:type="dcterms:W3CDTF">2019-04-23T18:07:00Z</dcterms:created>
  <dcterms:modified xsi:type="dcterms:W3CDTF">2019-09-14T18:50:00Z</dcterms:modified>
</cp:coreProperties>
</file>